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F5" w:rsidRDefault="00736BF5">
      <w:pPr>
        <w:rPr>
          <w:rFonts w:ascii="Century Gothic" w:hAnsi="Century Gothic"/>
          <w:b/>
          <w:bCs/>
        </w:rPr>
      </w:pPr>
    </w:p>
    <w:p w:rsidR="008D624E" w:rsidRDefault="008D624E" w:rsidP="00AC136B">
      <w:pPr>
        <w:rPr>
          <w:rFonts w:ascii="Century Gothic" w:hAnsi="Century Gothic"/>
          <w:b/>
          <w:bCs/>
        </w:rPr>
      </w:pPr>
      <w:r>
        <w:rPr>
          <w:rFonts w:ascii="Century Gothic" w:hAnsi="Century Gothic"/>
          <w:b/>
          <w:bCs/>
          <w:noProof/>
          <w:lang w:val="en-IN" w:eastAsia="en-IN"/>
        </w:rPr>
        <w:drawing>
          <wp:inline distT="0" distB="0" distL="0" distR="0">
            <wp:extent cx="1655836" cy="476250"/>
            <wp:effectExtent l="0" t="0" r="1905" b="0"/>
            <wp:docPr id="1" name="Picture 1" descr="D:\Corporate\Profile\Omax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rporate\Profile\Omax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5836" cy="476250"/>
                    </a:xfrm>
                    <a:prstGeom prst="rect">
                      <a:avLst/>
                    </a:prstGeom>
                    <a:noFill/>
                    <a:ln>
                      <a:noFill/>
                    </a:ln>
                  </pic:spPr>
                </pic:pic>
              </a:graphicData>
            </a:graphic>
          </wp:inline>
        </w:drawing>
      </w:r>
    </w:p>
    <w:p w:rsidR="008D624E" w:rsidRDefault="008D624E" w:rsidP="00AC136B">
      <w:pPr>
        <w:rPr>
          <w:rFonts w:ascii="Century Gothic" w:hAnsi="Century Gothic"/>
          <w:b/>
          <w:bCs/>
        </w:rPr>
      </w:pPr>
    </w:p>
    <w:p w:rsidR="00AC136B" w:rsidRPr="008D624E" w:rsidRDefault="00156A6D" w:rsidP="008D624E">
      <w:pPr>
        <w:jc w:val="center"/>
        <w:rPr>
          <w:rFonts w:ascii="Century Gothic" w:hAnsi="Century Gothic"/>
          <w:b/>
          <w:bCs/>
          <w:sz w:val="40"/>
        </w:rPr>
      </w:pPr>
      <w:r>
        <w:rPr>
          <w:rFonts w:ascii="Century Gothic" w:hAnsi="Century Gothic"/>
          <w:b/>
          <w:bCs/>
          <w:sz w:val="40"/>
        </w:rPr>
        <w:t>Q1 FY2021-22</w:t>
      </w:r>
      <w:r w:rsidR="00E94CF1">
        <w:rPr>
          <w:rFonts w:ascii="Century Gothic" w:hAnsi="Century Gothic"/>
          <w:b/>
          <w:bCs/>
          <w:sz w:val="40"/>
        </w:rPr>
        <w:t xml:space="preserve"> </w:t>
      </w:r>
      <w:r w:rsidR="00AC136B" w:rsidRPr="008D624E">
        <w:rPr>
          <w:rFonts w:ascii="Century Gothic" w:hAnsi="Century Gothic"/>
          <w:b/>
          <w:bCs/>
          <w:sz w:val="40"/>
        </w:rPr>
        <w:t xml:space="preserve">Consolidated </w:t>
      </w:r>
      <w:r w:rsidR="00372464" w:rsidRPr="008D624E">
        <w:rPr>
          <w:rFonts w:ascii="Century Gothic" w:hAnsi="Century Gothic"/>
          <w:b/>
          <w:bCs/>
          <w:sz w:val="40"/>
        </w:rPr>
        <w:t xml:space="preserve">Income from Operations at </w:t>
      </w:r>
      <w:proofErr w:type="spellStart"/>
      <w:r w:rsidR="008D624E">
        <w:rPr>
          <w:rFonts w:ascii="Century Gothic" w:hAnsi="Century Gothic"/>
          <w:b/>
          <w:bCs/>
          <w:sz w:val="40"/>
        </w:rPr>
        <w:t>Rs</w:t>
      </w:r>
      <w:proofErr w:type="spellEnd"/>
      <w:r w:rsidR="008D624E">
        <w:rPr>
          <w:rFonts w:ascii="Century Gothic" w:hAnsi="Century Gothic"/>
          <w:b/>
          <w:bCs/>
          <w:sz w:val="40"/>
        </w:rPr>
        <w:t xml:space="preserve"> </w:t>
      </w:r>
      <w:r>
        <w:rPr>
          <w:rFonts w:ascii="Century Gothic" w:hAnsi="Century Gothic"/>
          <w:b/>
          <w:bCs/>
          <w:sz w:val="40"/>
        </w:rPr>
        <w:t xml:space="preserve">89.48 </w:t>
      </w:r>
      <w:proofErr w:type="spellStart"/>
      <w:r w:rsidR="00AC136B" w:rsidRPr="008D624E">
        <w:rPr>
          <w:rFonts w:ascii="Century Gothic" w:hAnsi="Century Gothic"/>
          <w:b/>
          <w:bCs/>
          <w:sz w:val="40"/>
        </w:rPr>
        <w:t>cr</w:t>
      </w:r>
      <w:proofErr w:type="spellEnd"/>
    </w:p>
    <w:p w:rsidR="00AC136B" w:rsidRDefault="00AC136B">
      <w:pPr>
        <w:rPr>
          <w:rFonts w:ascii="Century Gothic" w:hAnsi="Century Gothic"/>
          <w:b/>
          <w:bCs/>
        </w:rPr>
      </w:pPr>
    </w:p>
    <w:p w:rsidR="00AC136B" w:rsidRDefault="00AC136B">
      <w:pPr>
        <w:rPr>
          <w:rFonts w:ascii="Century Gothic" w:hAnsi="Century Gothic"/>
          <w:b/>
          <w:bCs/>
        </w:rPr>
      </w:pPr>
    </w:p>
    <w:p w:rsidR="00AC136B" w:rsidRDefault="00AC136B">
      <w:pPr>
        <w:rPr>
          <w:rFonts w:ascii="Century Gothic" w:hAnsi="Century Gothic"/>
          <w:b/>
          <w:bCs/>
        </w:rPr>
      </w:pPr>
    </w:p>
    <w:p w:rsidR="006D5565" w:rsidRPr="007A311B" w:rsidRDefault="00D141E5" w:rsidP="00736BF5">
      <w:pPr>
        <w:jc w:val="both"/>
        <w:rPr>
          <w:rFonts w:ascii="Century Gothic" w:hAnsi="Century Gothic"/>
        </w:rPr>
      </w:pPr>
      <w:r>
        <w:rPr>
          <w:rFonts w:ascii="Century Gothic" w:hAnsi="Century Gothic"/>
          <w:b/>
          <w:bCs/>
        </w:rPr>
        <w:t xml:space="preserve">New Delhi, </w:t>
      </w:r>
      <w:r w:rsidR="00E94CF1">
        <w:rPr>
          <w:rFonts w:ascii="Century Gothic" w:hAnsi="Century Gothic"/>
          <w:b/>
          <w:bCs/>
        </w:rPr>
        <w:t>August 13</w:t>
      </w:r>
      <w:r w:rsidR="002A1A4B">
        <w:rPr>
          <w:rFonts w:ascii="Century Gothic" w:hAnsi="Century Gothic"/>
          <w:b/>
          <w:bCs/>
        </w:rPr>
        <w:t>, 2021</w:t>
      </w:r>
      <w:r w:rsidR="007A311B" w:rsidRPr="007A311B">
        <w:rPr>
          <w:rFonts w:ascii="Century Gothic" w:hAnsi="Century Gothic"/>
        </w:rPr>
        <w:t>: Omaxe Limited, one of India’s leading</w:t>
      </w:r>
      <w:r w:rsidR="00B3394C">
        <w:rPr>
          <w:rFonts w:ascii="Century Gothic" w:hAnsi="Century Gothic"/>
        </w:rPr>
        <w:t xml:space="preserve"> Real Estate Development Companies</w:t>
      </w:r>
      <w:r w:rsidR="007A311B" w:rsidRPr="007A311B">
        <w:rPr>
          <w:rFonts w:ascii="Century Gothic" w:hAnsi="Century Gothic"/>
        </w:rPr>
        <w:t>, headquartered in Delhi, reported Consolida</w:t>
      </w:r>
      <w:r w:rsidR="00C3420B">
        <w:rPr>
          <w:rFonts w:ascii="Century Gothic" w:hAnsi="Century Gothic"/>
        </w:rPr>
        <w:t>t</w:t>
      </w:r>
      <w:r w:rsidR="00A066B2">
        <w:rPr>
          <w:rFonts w:ascii="Century Gothic" w:hAnsi="Century Gothic"/>
        </w:rPr>
        <w:t xml:space="preserve">ed Income from Operations of </w:t>
      </w:r>
      <w:proofErr w:type="spellStart"/>
      <w:r w:rsidR="00C3420B">
        <w:rPr>
          <w:rFonts w:ascii="Century Gothic" w:hAnsi="Century Gothic"/>
        </w:rPr>
        <w:t>Rs</w:t>
      </w:r>
      <w:proofErr w:type="spellEnd"/>
      <w:r w:rsidR="00C3420B">
        <w:rPr>
          <w:rFonts w:ascii="Century Gothic" w:hAnsi="Century Gothic"/>
        </w:rPr>
        <w:t xml:space="preserve">. </w:t>
      </w:r>
      <w:r w:rsidR="00156A6D">
        <w:rPr>
          <w:rFonts w:ascii="Century Gothic" w:hAnsi="Century Gothic"/>
        </w:rPr>
        <w:t xml:space="preserve">89.48 </w:t>
      </w:r>
      <w:proofErr w:type="spellStart"/>
      <w:r w:rsidR="007A311B" w:rsidRPr="007A311B">
        <w:rPr>
          <w:rFonts w:ascii="Century Gothic" w:hAnsi="Century Gothic"/>
        </w:rPr>
        <w:t>c</w:t>
      </w:r>
      <w:r>
        <w:rPr>
          <w:rFonts w:ascii="Century Gothic" w:hAnsi="Century Gothic"/>
        </w:rPr>
        <w:t>r</w:t>
      </w:r>
      <w:proofErr w:type="spellEnd"/>
      <w:r>
        <w:rPr>
          <w:rFonts w:ascii="Century Gothic" w:hAnsi="Century Gothic"/>
        </w:rPr>
        <w:t xml:space="preserve"> for the </w:t>
      </w:r>
      <w:r w:rsidR="00372464">
        <w:rPr>
          <w:rFonts w:ascii="Century Gothic" w:hAnsi="Century Gothic"/>
        </w:rPr>
        <w:t xml:space="preserve">quarter ended </w:t>
      </w:r>
      <w:r w:rsidR="00E94CF1">
        <w:rPr>
          <w:rFonts w:ascii="Century Gothic" w:hAnsi="Century Gothic"/>
        </w:rPr>
        <w:t xml:space="preserve">June 30, </w:t>
      </w:r>
      <w:r w:rsidR="002A1A4B">
        <w:rPr>
          <w:rFonts w:ascii="Century Gothic" w:hAnsi="Century Gothic"/>
        </w:rPr>
        <w:t xml:space="preserve">2021 </w:t>
      </w:r>
      <w:r w:rsidR="00C3420B">
        <w:rPr>
          <w:rFonts w:ascii="Century Gothic" w:hAnsi="Century Gothic"/>
        </w:rPr>
        <w:t xml:space="preserve">as compared to </w:t>
      </w:r>
      <w:proofErr w:type="spellStart"/>
      <w:r w:rsidR="00C3420B">
        <w:rPr>
          <w:rFonts w:ascii="Century Gothic" w:hAnsi="Century Gothic"/>
        </w:rPr>
        <w:t>Rs</w:t>
      </w:r>
      <w:proofErr w:type="spellEnd"/>
      <w:r w:rsidR="00C3420B">
        <w:rPr>
          <w:rFonts w:ascii="Century Gothic" w:hAnsi="Century Gothic"/>
        </w:rPr>
        <w:t>.</w:t>
      </w:r>
      <w:r w:rsidR="007A311B" w:rsidRPr="007A311B">
        <w:rPr>
          <w:rFonts w:ascii="Century Gothic" w:hAnsi="Century Gothic"/>
        </w:rPr>
        <w:t xml:space="preserve"> </w:t>
      </w:r>
      <w:r w:rsidR="00E94CF1">
        <w:rPr>
          <w:rFonts w:ascii="Century Gothic" w:hAnsi="Century Gothic"/>
        </w:rPr>
        <w:t xml:space="preserve">53.85 </w:t>
      </w:r>
      <w:proofErr w:type="spellStart"/>
      <w:r>
        <w:rPr>
          <w:rFonts w:ascii="Century Gothic" w:hAnsi="Century Gothic"/>
        </w:rPr>
        <w:t>cr</w:t>
      </w:r>
      <w:proofErr w:type="spellEnd"/>
      <w:r>
        <w:rPr>
          <w:rFonts w:ascii="Century Gothic" w:hAnsi="Century Gothic"/>
        </w:rPr>
        <w:t xml:space="preserve"> for the quarter ended </w:t>
      </w:r>
      <w:r w:rsidR="00E94CF1">
        <w:rPr>
          <w:rFonts w:ascii="Century Gothic" w:hAnsi="Century Gothic"/>
        </w:rPr>
        <w:t xml:space="preserve">June 30, </w:t>
      </w:r>
      <w:r w:rsidR="00526F56">
        <w:rPr>
          <w:rFonts w:ascii="Century Gothic" w:hAnsi="Century Gothic"/>
        </w:rPr>
        <w:t>2020</w:t>
      </w:r>
      <w:r w:rsidR="00C337FB">
        <w:rPr>
          <w:rFonts w:ascii="Century Gothic" w:hAnsi="Century Gothic"/>
        </w:rPr>
        <w:t xml:space="preserve">. </w:t>
      </w:r>
      <w:r w:rsidR="00156A6D">
        <w:rPr>
          <w:rFonts w:ascii="Century Gothic" w:hAnsi="Century Gothic"/>
        </w:rPr>
        <w:t xml:space="preserve">The company posted a loss of </w:t>
      </w:r>
      <w:proofErr w:type="spellStart"/>
      <w:r w:rsidR="00156A6D">
        <w:rPr>
          <w:rFonts w:ascii="Century Gothic" w:hAnsi="Century Gothic"/>
        </w:rPr>
        <w:t>Rs</w:t>
      </w:r>
      <w:proofErr w:type="spellEnd"/>
      <w:r w:rsidR="00156A6D">
        <w:rPr>
          <w:rFonts w:ascii="Century Gothic" w:hAnsi="Century Gothic"/>
        </w:rPr>
        <w:t xml:space="preserve"> 44.43 </w:t>
      </w:r>
      <w:proofErr w:type="spellStart"/>
      <w:r w:rsidR="00156A6D">
        <w:rPr>
          <w:rFonts w:ascii="Century Gothic" w:hAnsi="Century Gothic"/>
        </w:rPr>
        <w:t>cr</w:t>
      </w:r>
      <w:proofErr w:type="spellEnd"/>
      <w:r w:rsidR="00156A6D">
        <w:rPr>
          <w:rFonts w:ascii="Century Gothic" w:hAnsi="Century Gothic"/>
        </w:rPr>
        <w:t xml:space="preserve"> </w:t>
      </w:r>
      <w:r w:rsidR="007A311B" w:rsidRPr="007A311B">
        <w:rPr>
          <w:rFonts w:ascii="Century Gothic" w:hAnsi="Century Gothic"/>
        </w:rPr>
        <w:t xml:space="preserve">for quarter ended </w:t>
      </w:r>
      <w:r w:rsidR="00E94CF1">
        <w:rPr>
          <w:rFonts w:ascii="Century Gothic" w:hAnsi="Century Gothic"/>
        </w:rPr>
        <w:t xml:space="preserve">June 30, </w:t>
      </w:r>
      <w:r w:rsidR="00526F56">
        <w:rPr>
          <w:rFonts w:ascii="Century Gothic" w:hAnsi="Century Gothic"/>
        </w:rPr>
        <w:t xml:space="preserve">2021 </w:t>
      </w:r>
      <w:r w:rsidR="00C3420B">
        <w:rPr>
          <w:rFonts w:ascii="Century Gothic" w:hAnsi="Century Gothic"/>
        </w:rPr>
        <w:t xml:space="preserve">as compared to </w:t>
      </w:r>
      <w:r w:rsidR="00FD0EDB">
        <w:rPr>
          <w:rFonts w:ascii="Century Gothic" w:hAnsi="Century Gothic"/>
        </w:rPr>
        <w:t xml:space="preserve">a loss of </w:t>
      </w:r>
      <w:proofErr w:type="spellStart"/>
      <w:r w:rsidR="00E94CF1">
        <w:rPr>
          <w:rFonts w:ascii="Century Gothic" w:hAnsi="Century Gothic"/>
        </w:rPr>
        <w:t>Rs</w:t>
      </w:r>
      <w:proofErr w:type="spellEnd"/>
      <w:r w:rsidR="00E94CF1">
        <w:rPr>
          <w:rFonts w:ascii="Century Gothic" w:hAnsi="Century Gothic"/>
        </w:rPr>
        <w:t xml:space="preserve"> 63.93 </w:t>
      </w:r>
      <w:proofErr w:type="spellStart"/>
      <w:r w:rsidR="00FD0EDB">
        <w:rPr>
          <w:rFonts w:ascii="Century Gothic" w:hAnsi="Century Gothic"/>
        </w:rPr>
        <w:t>cr</w:t>
      </w:r>
      <w:proofErr w:type="spellEnd"/>
      <w:r w:rsidR="00FD0EDB">
        <w:rPr>
          <w:rFonts w:ascii="Century Gothic" w:hAnsi="Century Gothic"/>
        </w:rPr>
        <w:t xml:space="preserve"> </w:t>
      </w:r>
      <w:r w:rsidR="007A311B" w:rsidRPr="007A311B">
        <w:rPr>
          <w:rFonts w:ascii="Century Gothic" w:hAnsi="Century Gothic"/>
        </w:rPr>
        <w:t>post</w:t>
      </w:r>
      <w:r>
        <w:rPr>
          <w:rFonts w:ascii="Century Gothic" w:hAnsi="Century Gothic"/>
        </w:rPr>
        <w:t xml:space="preserve">ed in the quarter ended </w:t>
      </w:r>
      <w:r w:rsidR="00E94CF1">
        <w:rPr>
          <w:rFonts w:ascii="Century Gothic" w:hAnsi="Century Gothic"/>
        </w:rPr>
        <w:t xml:space="preserve">June 30, </w:t>
      </w:r>
      <w:r w:rsidR="00FD0EDB">
        <w:rPr>
          <w:rFonts w:ascii="Century Gothic" w:hAnsi="Century Gothic"/>
        </w:rPr>
        <w:t>2020</w:t>
      </w:r>
      <w:r w:rsidR="007A311B" w:rsidRPr="007A311B">
        <w:rPr>
          <w:rFonts w:ascii="Century Gothic" w:hAnsi="Century Gothic"/>
        </w:rPr>
        <w:t>.</w:t>
      </w:r>
      <w:r w:rsidR="00B3394C">
        <w:rPr>
          <w:rFonts w:ascii="Century Gothic" w:hAnsi="Century Gothic"/>
        </w:rPr>
        <w:t xml:space="preserve"> </w:t>
      </w:r>
    </w:p>
    <w:p w:rsidR="00EC5522" w:rsidRDefault="00EC5522" w:rsidP="006A5E65">
      <w:pPr>
        <w:jc w:val="both"/>
        <w:rPr>
          <w:rFonts w:ascii="Century Gothic" w:hAnsi="Century Gothic" w:cs="Arial"/>
          <w:bCs/>
          <w:i/>
        </w:rPr>
      </w:pPr>
    </w:p>
    <w:p w:rsidR="00372464" w:rsidRDefault="00EC5522" w:rsidP="00372464">
      <w:pPr>
        <w:tabs>
          <w:tab w:val="left" w:pos="1620"/>
        </w:tabs>
        <w:jc w:val="both"/>
        <w:rPr>
          <w:rFonts w:ascii="Century Gothic" w:hAnsi="Century Gothic" w:cs="Arial"/>
          <w:b/>
        </w:rPr>
      </w:pPr>
      <w:r w:rsidRPr="00F33203">
        <w:rPr>
          <w:rFonts w:ascii="Century Gothic" w:hAnsi="Century Gothic" w:cs="Arial"/>
          <w:b/>
        </w:rPr>
        <w:t>Financial Highlights</w:t>
      </w:r>
    </w:p>
    <w:p w:rsidR="00156A6D" w:rsidRDefault="00156A6D" w:rsidP="00372464">
      <w:pPr>
        <w:tabs>
          <w:tab w:val="left" w:pos="1620"/>
        </w:tabs>
        <w:jc w:val="both"/>
        <w:rPr>
          <w:rFonts w:ascii="Century Gothic" w:hAnsi="Century Gothic" w:cs="Arial"/>
          <w:b/>
        </w:rPr>
      </w:pPr>
    </w:p>
    <w:tbl>
      <w:tblPr>
        <w:tblW w:w="5952" w:type="dxa"/>
        <w:jc w:val="center"/>
        <w:tblLook w:val="04A0" w:firstRow="1" w:lastRow="0" w:firstColumn="1" w:lastColumn="0" w:noHBand="0" w:noVBand="1"/>
      </w:tblPr>
      <w:tblGrid>
        <w:gridCol w:w="2694"/>
        <w:gridCol w:w="1698"/>
        <w:gridCol w:w="1560"/>
      </w:tblGrid>
      <w:tr w:rsidR="00E94CF1" w:rsidRPr="000C6A0D" w:rsidTr="00314D6F">
        <w:trPr>
          <w:trHeight w:val="510"/>
          <w:jc w:val="center"/>
        </w:trPr>
        <w:tc>
          <w:tcPr>
            <w:tcW w:w="2694" w:type="dxa"/>
            <w:vMerge w:val="restart"/>
            <w:tcBorders>
              <w:top w:val="single" w:sz="8" w:space="0" w:color="auto"/>
              <w:left w:val="single" w:sz="8" w:space="0" w:color="auto"/>
              <w:bottom w:val="single" w:sz="8" w:space="0" w:color="000000"/>
              <w:right w:val="single" w:sz="8" w:space="0" w:color="auto"/>
            </w:tcBorders>
            <w:shd w:val="clear" w:color="000000" w:fill="B8CCE4"/>
            <w:noWrap/>
            <w:vAlign w:val="center"/>
            <w:hideMark/>
          </w:tcPr>
          <w:p w:rsidR="00E94CF1" w:rsidRPr="00E3108C" w:rsidRDefault="00E94CF1" w:rsidP="00314D6F">
            <w:pPr>
              <w:suppressAutoHyphens w:val="0"/>
              <w:jc w:val="center"/>
              <w:rPr>
                <w:rFonts w:ascii="Century Gothic" w:eastAsia="Times New Roman" w:hAnsi="Century Gothic" w:cs="Calibri"/>
                <w:b/>
                <w:bCs/>
                <w:color w:val="000000"/>
                <w:lang w:val="en-IN" w:eastAsia="en-IN"/>
              </w:rPr>
            </w:pPr>
            <w:r w:rsidRPr="00E3108C">
              <w:rPr>
                <w:rFonts w:ascii="Century Gothic" w:eastAsia="Times New Roman" w:hAnsi="Century Gothic" w:cs="Calibri"/>
                <w:b/>
                <w:bCs/>
                <w:color w:val="000000"/>
                <w:lang w:eastAsia="en-IN"/>
              </w:rPr>
              <w:t>Particulars</w:t>
            </w:r>
          </w:p>
        </w:tc>
        <w:tc>
          <w:tcPr>
            <w:tcW w:w="1698" w:type="dxa"/>
            <w:vMerge w:val="restart"/>
            <w:tcBorders>
              <w:top w:val="single" w:sz="8" w:space="0" w:color="auto"/>
              <w:left w:val="single" w:sz="8" w:space="0" w:color="auto"/>
              <w:bottom w:val="single" w:sz="8" w:space="0" w:color="000000"/>
              <w:right w:val="single" w:sz="8" w:space="0" w:color="auto"/>
            </w:tcBorders>
            <w:shd w:val="clear" w:color="000000" w:fill="E5B8B7"/>
            <w:vAlign w:val="center"/>
            <w:hideMark/>
          </w:tcPr>
          <w:p w:rsidR="00314D6F" w:rsidRPr="00E3108C" w:rsidRDefault="00E94CF1" w:rsidP="00314D6F">
            <w:pPr>
              <w:suppressAutoHyphens w:val="0"/>
              <w:jc w:val="center"/>
              <w:rPr>
                <w:rFonts w:ascii="Century Gothic" w:eastAsia="Times New Roman" w:hAnsi="Century Gothic" w:cs="Calibri"/>
                <w:b/>
                <w:bCs/>
                <w:color w:val="000000"/>
                <w:lang w:eastAsia="en-IN"/>
              </w:rPr>
            </w:pPr>
            <w:r w:rsidRPr="00E3108C">
              <w:rPr>
                <w:rFonts w:ascii="Century Gothic" w:eastAsia="Times New Roman" w:hAnsi="Century Gothic" w:cs="Calibri"/>
                <w:b/>
                <w:bCs/>
                <w:color w:val="000000"/>
                <w:lang w:eastAsia="en-IN"/>
              </w:rPr>
              <w:t>Q1</w:t>
            </w:r>
          </w:p>
          <w:p w:rsidR="00E94CF1" w:rsidRPr="00E3108C" w:rsidRDefault="00314D6F" w:rsidP="00314D6F">
            <w:pPr>
              <w:suppressAutoHyphens w:val="0"/>
              <w:jc w:val="center"/>
              <w:rPr>
                <w:rFonts w:ascii="Century Gothic" w:eastAsia="Times New Roman" w:hAnsi="Century Gothic" w:cs="Calibri"/>
                <w:b/>
                <w:bCs/>
                <w:color w:val="000000"/>
                <w:lang w:val="en-IN" w:eastAsia="en-IN"/>
              </w:rPr>
            </w:pPr>
            <w:r w:rsidRPr="00E3108C">
              <w:rPr>
                <w:rFonts w:ascii="Century Gothic" w:eastAsia="Times New Roman" w:hAnsi="Century Gothic" w:cs="Calibri"/>
                <w:b/>
                <w:bCs/>
                <w:color w:val="000000"/>
                <w:lang w:eastAsia="en-IN"/>
              </w:rPr>
              <w:t>FY 2021-22</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314D6F" w:rsidRPr="00E3108C" w:rsidRDefault="00E94CF1" w:rsidP="00314D6F">
            <w:pPr>
              <w:suppressAutoHyphens w:val="0"/>
              <w:jc w:val="center"/>
              <w:rPr>
                <w:rFonts w:ascii="Century Gothic" w:eastAsia="Times New Roman" w:hAnsi="Century Gothic" w:cs="Calibri"/>
                <w:b/>
                <w:bCs/>
                <w:color w:val="000000"/>
                <w:lang w:eastAsia="en-IN"/>
              </w:rPr>
            </w:pPr>
            <w:r w:rsidRPr="00E3108C">
              <w:rPr>
                <w:rFonts w:ascii="Century Gothic" w:eastAsia="Times New Roman" w:hAnsi="Century Gothic" w:cs="Calibri"/>
                <w:b/>
                <w:bCs/>
                <w:color w:val="000000"/>
                <w:lang w:eastAsia="en-IN"/>
              </w:rPr>
              <w:t>Q1</w:t>
            </w:r>
          </w:p>
          <w:p w:rsidR="00E94CF1" w:rsidRPr="00E3108C" w:rsidRDefault="00314D6F" w:rsidP="00314D6F">
            <w:pPr>
              <w:suppressAutoHyphens w:val="0"/>
              <w:jc w:val="center"/>
              <w:rPr>
                <w:rFonts w:ascii="Century Gothic" w:eastAsia="Times New Roman" w:hAnsi="Century Gothic" w:cs="Calibri"/>
                <w:b/>
                <w:bCs/>
                <w:color w:val="000000"/>
                <w:lang w:val="en-IN" w:eastAsia="en-IN"/>
              </w:rPr>
            </w:pPr>
            <w:r w:rsidRPr="00E3108C">
              <w:rPr>
                <w:rFonts w:ascii="Century Gothic" w:eastAsia="Times New Roman" w:hAnsi="Century Gothic" w:cs="Calibri"/>
                <w:b/>
                <w:bCs/>
                <w:color w:val="000000"/>
                <w:lang w:eastAsia="en-IN"/>
              </w:rPr>
              <w:t>FY 2020-21</w:t>
            </w:r>
          </w:p>
        </w:tc>
      </w:tr>
      <w:tr w:rsidR="00E94CF1" w:rsidRPr="000C6A0D" w:rsidTr="00314D6F">
        <w:trPr>
          <w:trHeight w:val="315"/>
          <w:jc w:val="center"/>
        </w:trPr>
        <w:tc>
          <w:tcPr>
            <w:tcW w:w="2694" w:type="dxa"/>
            <w:vMerge/>
            <w:tcBorders>
              <w:top w:val="single" w:sz="8" w:space="0" w:color="auto"/>
              <w:left w:val="single" w:sz="8" w:space="0" w:color="auto"/>
              <w:bottom w:val="single" w:sz="8" w:space="0" w:color="000000"/>
              <w:right w:val="single" w:sz="8" w:space="0" w:color="auto"/>
            </w:tcBorders>
            <w:vAlign w:val="center"/>
            <w:hideMark/>
          </w:tcPr>
          <w:p w:rsidR="00E94CF1" w:rsidRPr="00E3108C" w:rsidRDefault="00E94CF1" w:rsidP="00314D6F">
            <w:pPr>
              <w:suppressAutoHyphens w:val="0"/>
              <w:jc w:val="center"/>
              <w:rPr>
                <w:rFonts w:ascii="Century Gothic" w:eastAsia="Times New Roman" w:hAnsi="Century Gothic" w:cs="Calibri"/>
                <w:b/>
                <w:bCs/>
                <w:color w:val="000000"/>
                <w:lang w:val="en-IN" w:eastAsia="en-IN"/>
              </w:rPr>
            </w:pPr>
          </w:p>
        </w:tc>
        <w:tc>
          <w:tcPr>
            <w:tcW w:w="1698" w:type="dxa"/>
            <w:vMerge/>
            <w:tcBorders>
              <w:top w:val="single" w:sz="8" w:space="0" w:color="auto"/>
              <w:left w:val="single" w:sz="8" w:space="0" w:color="auto"/>
              <w:bottom w:val="single" w:sz="8" w:space="0" w:color="000000"/>
              <w:right w:val="single" w:sz="8" w:space="0" w:color="auto"/>
            </w:tcBorders>
            <w:vAlign w:val="center"/>
            <w:hideMark/>
          </w:tcPr>
          <w:p w:rsidR="00E94CF1" w:rsidRPr="00E3108C" w:rsidRDefault="00E94CF1" w:rsidP="00314D6F">
            <w:pPr>
              <w:suppressAutoHyphens w:val="0"/>
              <w:jc w:val="center"/>
              <w:rPr>
                <w:rFonts w:ascii="Century Gothic" w:eastAsia="Times New Roman" w:hAnsi="Century Gothic" w:cs="Calibri"/>
                <w:b/>
                <w:bCs/>
                <w:color w:val="000000"/>
                <w:lang w:val="en-IN" w:eastAsia="en-IN"/>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E94CF1" w:rsidRPr="00E3108C" w:rsidRDefault="00E94CF1" w:rsidP="00314D6F">
            <w:pPr>
              <w:suppressAutoHyphens w:val="0"/>
              <w:jc w:val="center"/>
              <w:rPr>
                <w:rFonts w:ascii="Century Gothic" w:eastAsia="Times New Roman" w:hAnsi="Century Gothic" w:cs="Calibri"/>
                <w:b/>
                <w:bCs/>
                <w:color w:val="000000"/>
                <w:lang w:val="en-IN" w:eastAsia="en-IN"/>
              </w:rPr>
            </w:pPr>
          </w:p>
        </w:tc>
      </w:tr>
      <w:tr w:rsidR="00E94CF1" w:rsidRPr="000C6A0D" w:rsidTr="00314D6F">
        <w:trPr>
          <w:trHeight w:val="315"/>
          <w:jc w:val="center"/>
        </w:trPr>
        <w:tc>
          <w:tcPr>
            <w:tcW w:w="2694" w:type="dxa"/>
            <w:tcBorders>
              <w:top w:val="nil"/>
              <w:left w:val="single" w:sz="8" w:space="0" w:color="auto"/>
              <w:bottom w:val="single" w:sz="8" w:space="0" w:color="auto"/>
              <w:right w:val="single" w:sz="8" w:space="0" w:color="auto"/>
            </w:tcBorders>
            <w:shd w:val="clear" w:color="000000" w:fill="B8CCE4"/>
            <w:noWrap/>
            <w:vAlign w:val="center"/>
            <w:hideMark/>
          </w:tcPr>
          <w:p w:rsidR="00E94CF1" w:rsidRPr="00E3108C" w:rsidRDefault="00E94CF1" w:rsidP="00314D6F">
            <w:pPr>
              <w:suppressAutoHyphens w:val="0"/>
              <w:jc w:val="center"/>
              <w:rPr>
                <w:rFonts w:ascii="Century Gothic" w:eastAsia="Times New Roman" w:hAnsi="Century Gothic" w:cs="Calibri"/>
                <w:color w:val="000000"/>
                <w:lang w:val="en-IN" w:eastAsia="en-IN"/>
              </w:rPr>
            </w:pPr>
            <w:r w:rsidRPr="00E3108C">
              <w:rPr>
                <w:rFonts w:ascii="Century Gothic" w:eastAsia="Times New Roman" w:hAnsi="Century Gothic" w:cs="Calibri"/>
                <w:color w:val="000000"/>
                <w:lang w:eastAsia="en-IN"/>
              </w:rPr>
              <w:t>Income from Operations</w:t>
            </w:r>
          </w:p>
        </w:tc>
        <w:tc>
          <w:tcPr>
            <w:tcW w:w="1698" w:type="dxa"/>
            <w:tcBorders>
              <w:top w:val="nil"/>
              <w:left w:val="nil"/>
              <w:bottom w:val="single" w:sz="8" w:space="0" w:color="auto"/>
              <w:right w:val="single" w:sz="8" w:space="0" w:color="auto"/>
            </w:tcBorders>
            <w:shd w:val="clear" w:color="000000" w:fill="E5B8B7"/>
            <w:vAlign w:val="center"/>
            <w:hideMark/>
          </w:tcPr>
          <w:p w:rsidR="00E94CF1" w:rsidRPr="00E3108C" w:rsidRDefault="00156A6D" w:rsidP="00314D6F">
            <w:pPr>
              <w:suppressAutoHyphens w:val="0"/>
              <w:jc w:val="center"/>
              <w:rPr>
                <w:rFonts w:ascii="Century Gothic" w:eastAsia="Times New Roman" w:hAnsi="Century Gothic" w:cs="Calibri"/>
                <w:color w:val="000000"/>
                <w:lang w:val="en-IN" w:eastAsia="en-IN"/>
              </w:rPr>
            </w:pPr>
            <w:r w:rsidRPr="00E3108C">
              <w:rPr>
                <w:rFonts w:ascii="Century Gothic" w:eastAsia="Times New Roman" w:hAnsi="Century Gothic" w:cs="Calibri"/>
                <w:color w:val="000000"/>
                <w:lang w:val="en-IN" w:eastAsia="en-IN"/>
              </w:rPr>
              <w:t>89.48</w:t>
            </w:r>
          </w:p>
        </w:tc>
        <w:tc>
          <w:tcPr>
            <w:tcW w:w="1560" w:type="dxa"/>
            <w:tcBorders>
              <w:top w:val="nil"/>
              <w:left w:val="nil"/>
              <w:bottom w:val="single" w:sz="8" w:space="0" w:color="auto"/>
              <w:right w:val="single" w:sz="8" w:space="0" w:color="auto"/>
            </w:tcBorders>
            <w:shd w:val="clear" w:color="auto" w:fill="auto"/>
            <w:vAlign w:val="center"/>
            <w:hideMark/>
          </w:tcPr>
          <w:p w:rsidR="00E94CF1" w:rsidRPr="00E3108C" w:rsidRDefault="00E94CF1" w:rsidP="00314D6F">
            <w:pPr>
              <w:suppressAutoHyphens w:val="0"/>
              <w:jc w:val="center"/>
              <w:rPr>
                <w:rFonts w:ascii="Century Gothic" w:eastAsia="Times New Roman" w:hAnsi="Century Gothic" w:cs="Calibri"/>
                <w:color w:val="000000"/>
                <w:lang w:val="en-IN" w:eastAsia="en-IN"/>
              </w:rPr>
            </w:pPr>
            <w:r w:rsidRPr="00E3108C">
              <w:rPr>
                <w:rFonts w:ascii="Century Gothic" w:hAnsi="Century Gothic"/>
              </w:rPr>
              <w:t>53.85</w:t>
            </w:r>
          </w:p>
        </w:tc>
      </w:tr>
      <w:tr w:rsidR="00E94CF1" w:rsidRPr="000C6A0D" w:rsidTr="00314D6F">
        <w:trPr>
          <w:trHeight w:val="315"/>
          <w:jc w:val="center"/>
        </w:trPr>
        <w:tc>
          <w:tcPr>
            <w:tcW w:w="2694" w:type="dxa"/>
            <w:tcBorders>
              <w:top w:val="nil"/>
              <w:left w:val="single" w:sz="8" w:space="0" w:color="auto"/>
              <w:bottom w:val="single" w:sz="8" w:space="0" w:color="auto"/>
              <w:right w:val="single" w:sz="8" w:space="0" w:color="auto"/>
            </w:tcBorders>
            <w:shd w:val="clear" w:color="000000" w:fill="B8CCE4"/>
            <w:noWrap/>
            <w:vAlign w:val="center"/>
            <w:hideMark/>
          </w:tcPr>
          <w:p w:rsidR="00E94CF1" w:rsidRPr="00E3108C" w:rsidRDefault="00E94CF1" w:rsidP="00314D6F">
            <w:pPr>
              <w:suppressAutoHyphens w:val="0"/>
              <w:jc w:val="center"/>
              <w:rPr>
                <w:rFonts w:ascii="Century Gothic" w:eastAsia="Times New Roman" w:hAnsi="Century Gothic" w:cs="Calibri"/>
                <w:color w:val="000000"/>
                <w:lang w:val="en-IN" w:eastAsia="en-IN"/>
              </w:rPr>
            </w:pPr>
            <w:r w:rsidRPr="00E3108C">
              <w:rPr>
                <w:rFonts w:ascii="Century Gothic" w:eastAsia="Times New Roman" w:hAnsi="Century Gothic" w:cs="Calibri"/>
                <w:color w:val="000000"/>
                <w:lang w:eastAsia="en-IN"/>
              </w:rPr>
              <w:t>EBIDTA</w:t>
            </w:r>
          </w:p>
        </w:tc>
        <w:tc>
          <w:tcPr>
            <w:tcW w:w="1698" w:type="dxa"/>
            <w:tcBorders>
              <w:top w:val="nil"/>
              <w:left w:val="nil"/>
              <w:bottom w:val="single" w:sz="8" w:space="0" w:color="auto"/>
              <w:right w:val="single" w:sz="8" w:space="0" w:color="auto"/>
            </w:tcBorders>
            <w:shd w:val="clear" w:color="000000" w:fill="E5B8B7"/>
            <w:vAlign w:val="center"/>
            <w:hideMark/>
          </w:tcPr>
          <w:p w:rsidR="00E94CF1" w:rsidRPr="00E3108C" w:rsidRDefault="00156A6D" w:rsidP="00314D6F">
            <w:pPr>
              <w:suppressAutoHyphens w:val="0"/>
              <w:jc w:val="center"/>
              <w:rPr>
                <w:rFonts w:ascii="Century Gothic" w:eastAsia="Times New Roman" w:hAnsi="Century Gothic" w:cs="Calibri"/>
                <w:color w:val="000000"/>
                <w:lang w:val="en-IN" w:eastAsia="en-IN"/>
              </w:rPr>
            </w:pPr>
            <w:r w:rsidRPr="00E3108C">
              <w:rPr>
                <w:rFonts w:ascii="Century Gothic" w:eastAsia="Times New Roman" w:hAnsi="Century Gothic" w:cs="Calibri"/>
                <w:color w:val="000000"/>
                <w:lang w:val="en-IN" w:eastAsia="en-IN"/>
              </w:rPr>
              <w:t>(14.88)</w:t>
            </w:r>
          </w:p>
        </w:tc>
        <w:tc>
          <w:tcPr>
            <w:tcW w:w="1560" w:type="dxa"/>
            <w:tcBorders>
              <w:top w:val="nil"/>
              <w:left w:val="nil"/>
              <w:bottom w:val="single" w:sz="8" w:space="0" w:color="auto"/>
              <w:right w:val="single" w:sz="8" w:space="0" w:color="auto"/>
            </w:tcBorders>
            <w:shd w:val="clear" w:color="auto" w:fill="auto"/>
            <w:vAlign w:val="center"/>
            <w:hideMark/>
          </w:tcPr>
          <w:p w:rsidR="00E94CF1" w:rsidRPr="00E3108C" w:rsidRDefault="00156A6D" w:rsidP="00314D6F">
            <w:pPr>
              <w:suppressAutoHyphens w:val="0"/>
              <w:jc w:val="center"/>
              <w:rPr>
                <w:rFonts w:ascii="Century Gothic" w:eastAsia="Times New Roman" w:hAnsi="Century Gothic" w:cs="Calibri"/>
                <w:color w:val="000000"/>
                <w:lang w:val="en-IN" w:eastAsia="en-IN"/>
              </w:rPr>
            </w:pPr>
            <w:r w:rsidRPr="00E3108C">
              <w:rPr>
                <w:rFonts w:ascii="Century Gothic" w:eastAsia="Times New Roman" w:hAnsi="Century Gothic" w:cs="Calibri"/>
                <w:color w:val="000000"/>
                <w:lang w:val="en-IN" w:eastAsia="en-IN"/>
              </w:rPr>
              <w:t>(11.17)</w:t>
            </w:r>
          </w:p>
        </w:tc>
      </w:tr>
      <w:tr w:rsidR="00E94CF1" w:rsidRPr="00BE00F3" w:rsidTr="00314D6F">
        <w:trPr>
          <w:trHeight w:val="315"/>
          <w:jc w:val="center"/>
        </w:trPr>
        <w:tc>
          <w:tcPr>
            <w:tcW w:w="2694" w:type="dxa"/>
            <w:tcBorders>
              <w:top w:val="nil"/>
              <w:left w:val="single" w:sz="8" w:space="0" w:color="auto"/>
              <w:bottom w:val="single" w:sz="8" w:space="0" w:color="auto"/>
              <w:right w:val="single" w:sz="8" w:space="0" w:color="auto"/>
            </w:tcBorders>
            <w:shd w:val="clear" w:color="000000" w:fill="B8CCE4"/>
            <w:noWrap/>
            <w:vAlign w:val="center"/>
            <w:hideMark/>
          </w:tcPr>
          <w:p w:rsidR="00E94CF1" w:rsidRPr="00E3108C" w:rsidRDefault="00E94CF1" w:rsidP="00314D6F">
            <w:pPr>
              <w:suppressAutoHyphens w:val="0"/>
              <w:jc w:val="center"/>
              <w:rPr>
                <w:rFonts w:ascii="Century Gothic" w:eastAsia="Times New Roman" w:hAnsi="Century Gothic" w:cs="Calibri"/>
                <w:color w:val="000000"/>
                <w:lang w:val="en-IN" w:eastAsia="en-IN"/>
              </w:rPr>
            </w:pPr>
            <w:r w:rsidRPr="00E3108C">
              <w:rPr>
                <w:rFonts w:ascii="Century Gothic" w:eastAsia="Times New Roman" w:hAnsi="Century Gothic" w:cs="Calibri"/>
                <w:color w:val="000000"/>
                <w:lang w:eastAsia="en-IN"/>
              </w:rPr>
              <w:t>PAT</w:t>
            </w:r>
          </w:p>
        </w:tc>
        <w:tc>
          <w:tcPr>
            <w:tcW w:w="1698" w:type="dxa"/>
            <w:tcBorders>
              <w:top w:val="nil"/>
              <w:left w:val="nil"/>
              <w:bottom w:val="single" w:sz="8" w:space="0" w:color="auto"/>
              <w:right w:val="single" w:sz="8" w:space="0" w:color="auto"/>
            </w:tcBorders>
            <w:shd w:val="clear" w:color="000000" w:fill="E5B8B7"/>
            <w:vAlign w:val="center"/>
            <w:hideMark/>
          </w:tcPr>
          <w:p w:rsidR="00E94CF1" w:rsidRPr="00E3108C" w:rsidRDefault="00156A6D" w:rsidP="00314D6F">
            <w:pPr>
              <w:suppressAutoHyphens w:val="0"/>
              <w:jc w:val="center"/>
              <w:rPr>
                <w:rFonts w:ascii="Century Gothic" w:eastAsia="Times New Roman" w:hAnsi="Century Gothic" w:cs="Calibri"/>
                <w:color w:val="000000"/>
                <w:lang w:val="en-IN" w:eastAsia="en-IN"/>
              </w:rPr>
            </w:pPr>
            <w:r w:rsidRPr="00E3108C">
              <w:rPr>
                <w:rFonts w:ascii="Century Gothic" w:eastAsia="Times New Roman" w:hAnsi="Century Gothic" w:cs="Calibri"/>
                <w:color w:val="000000"/>
                <w:lang w:val="en-IN" w:eastAsia="en-IN"/>
              </w:rPr>
              <w:t>(44.43)</w:t>
            </w:r>
          </w:p>
        </w:tc>
        <w:tc>
          <w:tcPr>
            <w:tcW w:w="1560" w:type="dxa"/>
            <w:tcBorders>
              <w:top w:val="nil"/>
              <w:left w:val="nil"/>
              <w:bottom w:val="single" w:sz="8" w:space="0" w:color="auto"/>
              <w:right w:val="single" w:sz="8" w:space="0" w:color="auto"/>
            </w:tcBorders>
            <w:shd w:val="clear" w:color="auto" w:fill="auto"/>
            <w:vAlign w:val="center"/>
            <w:hideMark/>
          </w:tcPr>
          <w:p w:rsidR="00E94CF1" w:rsidRPr="00E3108C" w:rsidRDefault="00E94CF1" w:rsidP="00314D6F">
            <w:pPr>
              <w:suppressAutoHyphens w:val="0"/>
              <w:jc w:val="center"/>
              <w:rPr>
                <w:rFonts w:ascii="Century Gothic" w:eastAsia="Times New Roman" w:hAnsi="Century Gothic" w:cs="Calibri"/>
                <w:color w:val="000000"/>
                <w:lang w:val="en-IN" w:eastAsia="en-IN"/>
              </w:rPr>
            </w:pPr>
            <w:r w:rsidRPr="00E3108C">
              <w:rPr>
                <w:rFonts w:ascii="Century Gothic" w:eastAsia="Times New Roman" w:hAnsi="Century Gothic" w:cs="Calibri"/>
                <w:color w:val="000000"/>
                <w:lang w:eastAsia="en-IN"/>
              </w:rPr>
              <w:t>(63.93)</w:t>
            </w:r>
          </w:p>
        </w:tc>
      </w:tr>
    </w:tbl>
    <w:p w:rsidR="00372464" w:rsidRDefault="00372464" w:rsidP="00372464">
      <w:pPr>
        <w:tabs>
          <w:tab w:val="left" w:pos="1620"/>
        </w:tabs>
        <w:jc w:val="both"/>
        <w:rPr>
          <w:rFonts w:ascii="Century Gothic" w:hAnsi="Century Gothic" w:cs="Arial"/>
          <w:b/>
        </w:rPr>
      </w:pPr>
    </w:p>
    <w:p w:rsidR="00EC5522" w:rsidRDefault="00EC5522" w:rsidP="00372464">
      <w:pPr>
        <w:tabs>
          <w:tab w:val="left" w:pos="1620"/>
        </w:tabs>
        <w:jc w:val="both"/>
        <w:rPr>
          <w:rFonts w:ascii="Century Gothic" w:eastAsia="Calibri" w:hAnsi="Century Gothic" w:cs="Cambria"/>
          <w:i/>
          <w:iCs/>
          <w:color w:val="000000"/>
          <w:sz w:val="16"/>
          <w:szCs w:val="16"/>
          <w:lang w:eastAsia="en-US"/>
        </w:rPr>
      </w:pPr>
      <w:r w:rsidRPr="00CF251C">
        <w:rPr>
          <w:rFonts w:ascii="Century Gothic" w:eastAsia="Calibri" w:hAnsi="Century Gothic" w:cs="Cambria"/>
          <w:i/>
          <w:iCs/>
          <w:color w:val="000000"/>
          <w:sz w:val="16"/>
          <w:szCs w:val="16"/>
          <w:lang w:eastAsia="en-US"/>
        </w:rPr>
        <w:t xml:space="preserve">All figures in the table are on a consolidated basis in </w:t>
      </w:r>
      <w:proofErr w:type="spellStart"/>
      <w:r w:rsidR="00E94CF1">
        <w:rPr>
          <w:rFonts w:ascii="Rupee Foradian" w:eastAsia="Calibri" w:hAnsi="Rupee Foradian" w:cs="Cambria"/>
          <w:i/>
          <w:iCs/>
          <w:color w:val="000000"/>
          <w:sz w:val="16"/>
          <w:szCs w:val="16"/>
          <w:lang w:eastAsia="en-US"/>
        </w:rPr>
        <w:t>Rs</w:t>
      </w:r>
      <w:proofErr w:type="spellEnd"/>
      <w:r w:rsidR="00E94CF1">
        <w:rPr>
          <w:rFonts w:ascii="Rupee Foradian" w:eastAsia="Calibri" w:hAnsi="Rupee Foradian" w:cs="Cambria"/>
          <w:i/>
          <w:iCs/>
          <w:color w:val="000000"/>
          <w:sz w:val="16"/>
          <w:szCs w:val="16"/>
          <w:lang w:eastAsia="en-US"/>
        </w:rPr>
        <w:t xml:space="preserve"> </w:t>
      </w:r>
      <w:proofErr w:type="spellStart"/>
      <w:r w:rsidRPr="00CF251C">
        <w:rPr>
          <w:rFonts w:ascii="Century Gothic" w:eastAsia="Calibri" w:hAnsi="Century Gothic" w:cs="Cambria"/>
          <w:i/>
          <w:iCs/>
          <w:color w:val="000000"/>
          <w:sz w:val="16"/>
          <w:szCs w:val="16"/>
          <w:lang w:eastAsia="en-US"/>
        </w:rPr>
        <w:t>crores</w:t>
      </w:r>
      <w:proofErr w:type="spellEnd"/>
      <w:r w:rsidRPr="00CF251C">
        <w:rPr>
          <w:rFonts w:ascii="Century Gothic" w:eastAsia="Calibri" w:hAnsi="Century Gothic" w:cs="Cambria"/>
          <w:i/>
          <w:iCs/>
          <w:color w:val="000000"/>
          <w:sz w:val="16"/>
          <w:szCs w:val="16"/>
          <w:lang w:eastAsia="en-US"/>
        </w:rPr>
        <w:t>, unless stated otherwise</w:t>
      </w:r>
      <w:r w:rsidR="00CC5D47">
        <w:rPr>
          <w:rFonts w:ascii="Century Gothic" w:eastAsia="Calibri" w:hAnsi="Century Gothic" w:cs="Cambria"/>
          <w:i/>
          <w:iCs/>
          <w:color w:val="000000"/>
          <w:sz w:val="16"/>
          <w:szCs w:val="16"/>
          <w:lang w:eastAsia="en-US"/>
        </w:rPr>
        <w:t xml:space="preserve">. </w:t>
      </w:r>
      <w:r w:rsidR="007F52C3">
        <w:rPr>
          <w:rFonts w:ascii="Century Gothic" w:eastAsia="Calibri" w:hAnsi="Century Gothic" w:cs="Cambria"/>
          <w:i/>
          <w:iCs/>
          <w:color w:val="000000"/>
          <w:sz w:val="16"/>
          <w:szCs w:val="16"/>
          <w:lang w:eastAsia="en-US"/>
        </w:rPr>
        <w:t xml:space="preserve"> </w:t>
      </w:r>
    </w:p>
    <w:p w:rsidR="007A311B" w:rsidRDefault="007A311B" w:rsidP="007A311B">
      <w:pPr>
        <w:suppressAutoHyphens w:val="0"/>
        <w:jc w:val="both"/>
        <w:rPr>
          <w:rFonts w:ascii="Century Gothic" w:eastAsia="Times New Roman" w:hAnsi="Century Gothic" w:cs="Arial"/>
          <w:b/>
          <w:bCs/>
          <w:color w:val="000000"/>
          <w:lang w:eastAsia="en-US"/>
        </w:rPr>
      </w:pPr>
    </w:p>
    <w:p w:rsidR="001079FF" w:rsidRPr="001079FF" w:rsidRDefault="001079FF" w:rsidP="001079FF">
      <w:pPr>
        <w:pStyle w:val="BodyText2"/>
        <w:spacing w:after="0" w:line="240" w:lineRule="auto"/>
        <w:jc w:val="both"/>
        <w:rPr>
          <w:rFonts w:ascii="Century Gothic" w:hAnsi="Century Gothic" w:cs="Arial"/>
          <w:b/>
          <w:sz w:val="22"/>
          <w:szCs w:val="22"/>
          <w:lang w:val="en-US"/>
        </w:rPr>
      </w:pPr>
      <w:r w:rsidRPr="001079FF">
        <w:rPr>
          <w:rFonts w:ascii="Century Gothic" w:hAnsi="Century Gothic" w:cs="Arial" w:hint="eastAsia"/>
          <w:b/>
          <w:sz w:val="22"/>
          <w:szCs w:val="22"/>
          <w:lang w:val="en-US"/>
        </w:rPr>
        <w:t>Commenting on the Q1 FY</w:t>
      </w:r>
      <w:r w:rsidR="009E0CA2">
        <w:rPr>
          <w:rFonts w:ascii="Century Gothic" w:hAnsi="Century Gothic" w:cs="Arial"/>
          <w:b/>
          <w:sz w:val="22"/>
          <w:szCs w:val="22"/>
          <w:lang w:val="en-US"/>
        </w:rPr>
        <w:t xml:space="preserve"> 2021-</w:t>
      </w:r>
      <w:r w:rsidRPr="001079FF">
        <w:rPr>
          <w:rFonts w:ascii="Century Gothic" w:hAnsi="Century Gothic" w:cs="Arial" w:hint="eastAsia"/>
          <w:b/>
          <w:sz w:val="22"/>
          <w:szCs w:val="22"/>
          <w:lang w:val="en-US"/>
        </w:rPr>
        <w:t>22 results</w:t>
      </w:r>
      <w:r w:rsidRPr="001079FF">
        <w:rPr>
          <w:rFonts w:ascii="Century Gothic" w:hAnsi="Century Gothic" w:cs="Arial"/>
          <w:b/>
          <w:sz w:val="22"/>
          <w:szCs w:val="22"/>
          <w:lang w:val="en-US"/>
        </w:rPr>
        <w:t xml:space="preserve"> and outlook for FY</w:t>
      </w:r>
      <w:r w:rsidR="009E0CA2">
        <w:rPr>
          <w:rFonts w:ascii="Century Gothic" w:hAnsi="Century Gothic" w:cs="Arial"/>
          <w:b/>
          <w:sz w:val="22"/>
          <w:szCs w:val="22"/>
          <w:lang w:val="en-US"/>
        </w:rPr>
        <w:t xml:space="preserve"> </w:t>
      </w:r>
      <w:bookmarkStart w:id="0" w:name="_GoBack"/>
      <w:bookmarkEnd w:id="0"/>
      <w:r w:rsidR="009E0CA2">
        <w:rPr>
          <w:rFonts w:ascii="Century Gothic" w:hAnsi="Century Gothic" w:cs="Arial"/>
          <w:b/>
          <w:sz w:val="22"/>
          <w:szCs w:val="22"/>
          <w:lang w:val="en-US"/>
        </w:rPr>
        <w:t>2021-22</w:t>
      </w:r>
      <w:r w:rsidRPr="001079FF">
        <w:rPr>
          <w:rFonts w:ascii="Century Gothic" w:hAnsi="Century Gothic" w:cs="Arial" w:hint="eastAsia"/>
          <w:b/>
          <w:sz w:val="22"/>
          <w:szCs w:val="22"/>
          <w:lang w:val="en-US"/>
        </w:rPr>
        <w:t xml:space="preserve">, Mr. </w:t>
      </w:r>
      <w:proofErr w:type="spellStart"/>
      <w:r w:rsidRPr="001079FF">
        <w:rPr>
          <w:rFonts w:ascii="Century Gothic" w:hAnsi="Century Gothic" w:cs="Arial" w:hint="eastAsia"/>
          <w:b/>
          <w:sz w:val="22"/>
          <w:szCs w:val="22"/>
          <w:lang w:val="en-US"/>
        </w:rPr>
        <w:t>Rajan</w:t>
      </w:r>
      <w:proofErr w:type="spellEnd"/>
      <w:r w:rsidRPr="001079FF">
        <w:rPr>
          <w:rFonts w:ascii="Century Gothic" w:hAnsi="Century Gothic" w:cs="Arial" w:hint="eastAsia"/>
          <w:b/>
          <w:sz w:val="22"/>
          <w:szCs w:val="22"/>
          <w:lang w:val="en-US"/>
        </w:rPr>
        <w:t xml:space="preserve"> Gupta, Vice President (Business Development &amp; Corporate Strategy), Omaxe Limited said:</w:t>
      </w:r>
    </w:p>
    <w:p w:rsidR="001079FF" w:rsidRDefault="001079FF" w:rsidP="001079FF">
      <w:pPr>
        <w:pStyle w:val="BodyText2"/>
        <w:spacing w:after="0" w:line="240" w:lineRule="auto"/>
        <w:jc w:val="both"/>
        <w:rPr>
          <w:rFonts w:ascii="Century Gothic" w:hAnsi="Century Gothic" w:cs="Arial"/>
          <w:sz w:val="22"/>
          <w:szCs w:val="22"/>
          <w:lang w:val="en-US"/>
        </w:rPr>
      </w:pPr>
    </w:p>
    <w:p w:rsidR="001079FF" w:rsidRPr="001079FF" w:rsidRDefault="001079FF" w:rsidP="001079FF">
      <w:pPr>
        <w:pStyle w:val="BodyText2"/>
        <w:spacing w:after="0" w:line="240" w:lineRule="auto"/>
        <w:jc w:val="both"/>
        <w:rPr>
          <w:rFonts w:ascii="Century Gothic" w:hAnsi="Century Gothic" w:cs="Arial"/>
          <w:sz w:val="22"/>
          <w:szCs w:val="22"/>
          <w:lang w:val="en-US"/>
        </w:rPr>
      </w:pPr>
      <w:r w:rsidRPr="001079FF">
        <w:rPr>
          <w:rFonts w:ascii="Century Gothic" w:hAnsi="Century Gothic" w:cs="Arial" w:hint="eastAsia"/>
          <w:sz w:val="22"/>
          <w:szCs w:val="22"/>
          <w:lang w:val="en-US"/>
        </w:rPr>
        <w:t>Despite several challenges in the first quarter of fiscal 2021-22, just like FY 2020-21, the company has maintained its stakeholders outreach through the digital infrastructure built over the years and more so during the last year. It was able to tap into the demand from reverse migrants in cities like Lucknow, New Chandigarh, Indore and Ludhiana.</w:t>
      </w:r>
    </w:p>
    <w:p w:rsidR="001079FF" w:rsidRDefault="001079FF" w:rsidP="001079FF">
      <w:pPr>
        <w:pStyle w:val="BodyText2"/>
        <w:spacing w:after="0" w:line="240" w:lineRule="auto"/>
        <w:jc w:val="both"/>
        <w:rPr>
          <w:rFonts w:ascii="Century Gothic" w:hAnsi="Century Gothic" w:cs="Arial"/>
          <w:sz w:val="22"/>
          <w:szCs w:val="22"/>
          <w:lang w:val="en-US"/>
        </w:rPr>
      </w:pPr>
    </w:p>
    <w:p w:rsidR="001079FF" w:rsidRPr="001079FF" w:rsidRDefault="001079FF" w:rsidP="001079FF">
      <w:pPr>
        <w:pStyle w:val="BodyText2"/>
        <w:spacing w:after="0" w:line="240" w:lineRule="auto"/>
        <w:jc w:val="both"/>
        <w:rPr>
          <w:rFonts w:ascii="Century Gothic" w:hAnsi="Century Gothic" w:cs="Arial"/>
          <w:sz w:val="22"/>
          <w:szCs w:val="22"/>
          <w:lang w:val="en-US"/>
        </w:rPr>
      </w:pPr>
      <w:r w:rsidRPr="001079FF">
        <w:rPr>
          <w:rFonts w:ascii="Century Gothic" w:hAnsi="Century Gothic" w:cs="Arial" w:hint="eastAsia"/>
          <w:sz w:val="22"/>
          <w:szCs w:val="22"/>
          <w:lang w:val="en-US"/>
        </w:rPr>
        <w:t xml:space="preserve">We are seeing green shoots of recovery in the month of July. The RBI’s retention of 9.5% growth projection for FY 22 signals a positive outlook going forward and we are hopeful that the housing demand will see a spurt from the second quarter onwards and continue through the festive season unless this march is interrupted by a third wave. </w:t>
      </w:r>
    </w:p>
    <w:p w:rsidR="001079FF" w:rsidRDefault="001079FF" w:rsidP="001079FF">
      <w:pPr>
        <w:pStyle w:val="BodyText2"/>
        <w:spacing w:after="0" w:line="240" w:lineRule="auto"/>
        <w:jc w:val="both"/>
        <w:rPr>
          <w:rFonts w:ascii="Century Gothic" w:hAnsi="Century Gothic" w:cs="Arial"/>
          <w:sz w:val="22"/>
          <w:szCs w:val="22"/>
          <w:lang w:val="en-US"/>
        </w:rPr>
      </w:pPr>
    </w:p>
    <w:p w:rsidR="001079FF" w:rsidRPr="001079FF" w:rsidRDefault="001079FF" w:rsidP="001079FF">
      <w:pPr>
        <w:pStyle w:val="BodyText2"/>
        <w:spacing w:after="0" w:line="240" w:lineRule="auto"/>
        <w:jc w:val="both"/>
        <w:rPr>
          <w:rFonts w:ascii="Century Gothic" w:hAnsi="Century Gothic" w:cs="Arial"/>
          <w:sz w:val="22"/>
          <w:szCs w:val="22"/>
          <w:lang w:val="en-US"/>
        </w:rPr>
      </w:pPr>
      <w:r w:rsidRPr="001079FF">
        <w:rPr>
          <w:rFonts w:ascii="Century Gothic" w:hAnsi="Century Gothic" w:cs="Arial" w:hint="eastAsia"/>
          <w:sz w:val="22"/>
          <w:szCs w:val="22"/>
          <w:lang w:val="en-US"/>
        </w:rPr>
        <w:t xml:space="preserve">The vaccination roll-out by the government has been impressive and signs of a pent up demand is visible. Consumer spending could propel demand for the retail segment. The </w:t>
      </w:r>
      <w:r w:rsidRPr="001079FF">
        <w:rPr>
          <w:rFonts w:ascii="Century Gothic" w:hAnsi="Century Gothic" w:cs="Arial" w:hint="eastAsia"/>
          <w:sz w:val="22"/>
          <w:szCs w:val="22"/>
          <w:lang w:val="en-US"/>
        </w:rPr>
        <w:lastRenderedPageBreak/>
        <w:t xml:space="preserve">housing demand in tier 2/3 cities continues to be strong owing to demand from reverse migrants, intra-city movement to townships with bigger homes and open &amp; green spaces. We are seeing demand in our independent floors and retail portfolio in Delhi, Ludhiana, New Chandigarh and Lucknow and Indore. </w:t>
      </w:r>
    </w:p>
    <w:p w:rsidR="001079FF" w:rsidRDefault="001079FF" w:rsidP="001079FF">
      <w:pPr>
        <w:pStyle w:val="BodyText2"/>
        <w:spacing w:after="0" w:line="240" w:lineRule="auto"/>
        <w:jc w:val="both"/>
        <w:rPr>
          <w:rFonts w:ascii="Century Gothic" w:hAnsi="Century Gothic" w:cs="Arial"/>
          <w:sz w:val="22"/>
          <w:szCs w:val="22"/>
          <w:lang w:val="en-US"/>
        </w:rPr>
      </w:pPr>
    </w:p>
    <w:p w:rsidR="00053E0C" w:rsidRDefault="001079FF" w:rsidP="001079FF">
      <w:pPr>
        <w:pStyle w:val="BodyText2"/>
        <w:spacing w:after="0" w:line="240" w:lineRule="auto"/>
        <w:jc w:val="both"/>
        <w:rPr>
          <w:rFonts w:ascii="Century Gothic" w:hAnsi="Century Gothic" w:cs="Arial"/>
          <w:sz w:val="22"/>
          <w:szCs w:val="22"/>
          <w:lang w:val="en-US"/>
        </w:rPr>
      </w:pPr>
      <w:r w:rsidRPr="001079FF">
        <w:rPr>
          <w:rFonts w:ascii="Century Gothic" w:hAnsi="Century Gothic" w:cs="Arial" w:hint="eastAsia"/>
          <w:sz w:val="22"/>
          <w:szCs w:val="22"/>
          <w:lang w:val="en-US"/>
        </w:rPr>
        <w:t>A healthy mix of our residential and commercial projects, which has been performing very well over the last few years year, will continue to remain a priority with construction and possession being on top of the company’s endeavor this financial year.</w:t>
      </w:r>
    </w:p>
    <w:p w:rsidR="001079FF" w:rsidRPr="001079FF" w:rsidRDefault="001079FF" w:rsidP="001079FF">
      <w:pPr>
        <w:pStyle w:val="BodyText2"/>
        <w:spacing w:after="0" w:line="240" w:lineRule="auto"/>
        <w:jc w:val="both"/>
        <w:rPr>
          <w:rFonts w:ascii="Century Gothic" w:hAnsi="Century Gothic" w:cs="Arial"/>
          <w:sz w:val="22"/>
          <w:szCs w:val="22"/>
          <w:lang w:val="en-US"/>
        </w:rPr>
      </w:pPr>
    </w:p>
    <w:p w:rsidR="00EC5522" w:rsidRPr="00891C65" w:rsidRDefault="00EC5522" w:rsidP="00EC5522">
      <w:pPr>
        <w:pStyle w:val="BodyText2"/>
        <w:spacing w:after="0" w:line="240" w:lineRule="auto"/>
        <w:jc w:val="both"/>
        <w:rPr>
          <w:rFonts w:ascii="Century Gothic" w:hAnsi="Century Gothic" w:cs="Arial"/>
          <w:b/>
          <w:i/>
          <w:sz w:val="20"/>
          <w:szCs w:val="20"/>
          <w:lang w:val="en-US"/>
        </w:rPr>
      </w:pPr>
      <w:r w:rsidRPr="00891C65">
        <w:rPr>
          <w:rFonts w:ascii="Century Gothic" w:hAnsi="Century Gothic" w:cs="Arial"/>
          <w:b/>
          <w:i/>
          <w:sz w:val="20"/>
          <w:szCs w:val="20"/>
        </w:rPr>
        <w:t>About Omaxe Limited:</w:t>
      </w:r>
    </w:p>
    <w:p w:rsidR="00EC5522" w:rsidRPr="00891C65" w:rsidRDefault="00EC5522" w:rsidP="00EC5522">
      <w:pPr>
        <w:pStyle w:val="BodyText2"/>
        <w:spacing w:after="0" w:line="240" w:lineRule="auto"/>
        <w:jc w:val="both"/>
        <w:rPr>
          <w:rFonts w:ascii="Century Gothic" w:hAnsi="Century Gothic" w:cs="Arial"/>
          <w:b/>
          <w:i/>
          <w:sz w:val="20"/>
          <w:szCs w:val="20"/>
          <w:lang w:val="en-US"/>
        </w:rPr>
      </w:pPr>
    </w:p>
    <w:p w:rsidR="00EC5522" w:rsidRDefault="00922349" w:rsidP="006A5E65">
      <w:pPr>
        <w:jc w:val="both"/>
        <w:rPr>
          <w:rFonts w:ascii="Century Gothic" w:hAnsi="Century Gothic"/>
          <w:i/>
          <w:sz w:val="20"/>
          <w:szCs w:val="20"/>
        </w:rPr>
      </w:pPr>
      <w:r w:rsidRPr="009746F6">
        <w:rPr>
          <w:rFonts w:ascii="Century Gothic" w:hAnsi="Century Gothic"/>
          <w:i/>
          <w:sz w:val="20"/>
          <w:szCs w:val="20"/>
        </w:rPr>
        <w:t>Omaxe Limited is one of India’s leading real estate development companies. Founded in 1987, the company has fast spread its footprints in 8 States across 27 cities. Today, the company has in its kitty a diversified product portfolio that includes Integrated Townships, Hi-Tech Townships, Group Housing projects, Shopping Malls, Office Spaces, SCOs and Ho</w:t>
      </w:r>
      <w:r w:rsidR="00D351AA">
        <w:rPr>
          <w:rFonts w:ascii="Century Gothic" w:hAnsi="Century Gothic"/>
          <w:i/>
          <w:sz w:val="20"/>
          <w:szCs w:val="20"/>
        </w:rPr>
        <w:t xml:space="preserve">tel projects. </w:t>
      </w:r>
      <w:r w:rsidR="00156A6D">
        <w:rPr>
          <w:rFonts w:ascii="Century Gothic" w:hAnsi="Century Gothic"/>
          <w:i/>
          <w:sz w:val="20"/>
          <w:szCs w:val="20"/>
        </w:rPr>
        <w:t xml:space="preserve">The </w:t>
      </w:r>
      <w:r w:rsidRPr="009746F6">
        <w:rPr>
          <w:rFonts w:ascii="Century Gothic" w:hAnsi="Century Gothic"/>
          <w:i/>
          <w:sz w:val="20"/>
          <w:szCs w:val="20"/>
        </w:rPr>
        <w:t xml:space="preserve">company is currently undertaking </w:t>
      </w:r>
      <w:r w:rsidR="00134E2B">
        <w:rPr>
          <w:rFonts w:ascii="Century Gothic" w:hAnsi="Century Gothic"/>
          <w:i/>
          <w:sz w:val="20"/>
          <w:szCs w:val="20"/>
        </w:rPr>
        <w:t>23</w:t>
      </w:r>
      <w:r w:rsidRPr="009746F6">
        <w:rPr>
          <w:rFonts w:ascii="Century Gothic" w:hAnsi="Century Gothic"/>
          <w:i/>
          <w:sz w:val="20"/>
          <w:szCs w:val="20"/>
        </w:rPr>
        <w:t xml:space="preserve"> real estate projects - </w:t>
      </w:r>
      <w:r w:rsidR="00134E2B">
        <w:rPr>
          <w:rFonts w:ascii="Century Gothic" w:hAnsi="Century Gothic"/>
          <w:i/>
          <w:sz w:val="20"/>
          <w:szCs w:val="20"/>
        </w:rPr>
        <w:t>4</w:t>
      </w:r>
      <w:r w:rsidRPr="009746F6">
        <w:rPr>
          <w:rFonts w:ascii="Century Gothic" w:hAnsi="Century Gothic"/>
          <w:i/>
          <w:sz w:val="20"/>
          <w:szCs w:val="20"/>
        </w:rPr>
        <w:t xml:space="preserve"> Group Housing, </w:t>
      </w:r>
      <w:r w:rsidR="00134E2B">
        <w:rPr>
          <w:rFonts w:ascii="Century Gothic" w:hAnsi="Century Gothic"/>
          <w:i/>
          <w:sz w:val="20"/>
          <w:szCs w:val="20"/>
        </w:rPr>
        <w:t>14</w:t>
      </w:r>
      <w:r w:rsidRPr="009746F6">
        <w:rPr>
          <w:rFonts w:ascii="Century Gothic" w:hAnsi="Century Gothic"/>
          <w:i/>
          <w:sz w:val="20"/>
          <w:szCs w:val="20"/>
        </w:rPr>
        <w:t xml:space="preserve"> Townships, </w:t>
      </w:r>
      <w:r w:rsidR="00134E2B">
        <w:rPr>
          <w:rFonts w:ascii="Century Gothic" w:hAnsi="Century Gothic"/>
          <w:i/>
          <w:sz w:val="20"/>
          <w:szCs w:val="20"/>
        </w:rPr>
        <w:t>5</w:t>
      </w:r>
      <w:r w:rsidRPr="009746F6">
        <w:rPr>
          <w:rFonts w:ascii="Century Gothic" w:hAnsi="Century Gothic"/>
          <w:i/>
          <w:sz w:val="20"/>
          <w:szCs w:val="20"/>
        </w:rPr>
        <w:t xml:space="preserve"> Commercial Malls/Hotels/ SCO. A BSE &amp; NSE listed company, Omaxe has over the years made a mark with some landmark projects and engineering marvels. Sensing an opportunity in Tier II and III cities, the company made a conscious decision to venture into States like Uttar Pradesh, Madhya Pradesh, Punjab, Haryana, Uttarakhand, Rajasthan, Delhi, Himachal Pradesh to name a few and has immensely contributed in the socio-economic development of these cities. </w:t>
      </w:r>
    </w:p>
    <w:p w:rsidR="00462016" w:rsidRDefault="00462016" w:rsidP="006A5E65">
      <w:pPr>
        <w:jc w:val="both"/>
        <w:rPr>
          <w:rFonts w:ascii="Century Gothic" w:hAnsi="Century Gothic"/>
          <w:i/>
          <w:sz w:val="20"/>
          <w:szCs w:val="20"/>
        </w:rPr>
      </w:pPr>
    </w:p>
    <w:p w:rsidR="00462016" w:rsidRDefault="00462016" w:rsidP="006A5E65">
      <w:pPr>
        <w:jc w:val="both"/>
        <w:rPr>
          <w:rFonts w:ascii="Century Gothic" w:hAnsi="Century Gothic"/>
          <w:i/>
          <w:sz w:val="20"/>
          <w:szCs w:val="20"/>
        </w:rPr>
      </w:pPr>
    </w:p>
    <w:p w:rsidR="00462016" w:rsidRPr="004E5644" w:rsidRDefault="00462016" w:rsidP="006A5E65">
      <w:pPr>
        <w:jc w:val="both"/>
        <w:rPr>
          <w:rFonts w:ascii="Century Gothic" w:hAnsi="Century Gothic"/>
          <w:b/>
          <w:sz w:val="24"/>
          <w:szCs w:val="20"/>
        </w:rPr>
      </w:pPr>
      <w:r w:rsidRPr="004E5644">
        <w:rPr>
          <w:rFonts w:ascii="Century Gothic" w:hAnsi="Century Gothic"/>
          <w:b/>
          <w:sz w:val="24"/>
          <w:szCs w:val="20"/>
        </w:rPr>
        <w:t>For Details:</w:t>
      </w:r>
      <w:r w:rsidRPr="004E5644">
        <w:rPr>
          <w:rFonts w:ascii="Century Gothic" w:hAnsi="Century Gothic"/>
          <w:b/>
          <w:sz w:val="24"/>
          <w:szCs w:val="20"/>
        </w:rPr>
        <w:tab/>
      </w:r>
      <w:r w:rsidRPr="004E5644">
        <w:rPr>
          <w:rFonts w:ascii="Century Gothic" w:hAnsi="Century Gothic"/>
          <w:b/>
          <w:sz w:val="24"/>
          <w:szCs w:val="20"/>
        </w:rPr>
        <w:tab/>
      </w:r>
      <w:r w:rsidRPr="004E5644">
        <w:rPr>
          <w:rFonts w:ascii="Century Gothic" w:hAnsi="Century Gothic"/>
          <w:b/>
          <w:sz w:val="24"/>
          <w:szCs w:val="20"/>
        </w:rPr>
        <w:tab/>
      </w:r>
      <w:r w:rsidRPr="004E5644">
        <w:rPr>
          <w:rFonts w:ascii="Century Gothic" w:hAnsi="Century Gothic"/>
          <w:b/>
          <w:sz w:val="24"/>
          <w:szCs w:val="20"/>
        </w:rPr>
        <w:tab/>
      </w:r>
      <w:r w:rsidRPr="004E5644">
        <w:rPr>
          <w:rFonts w:ascii="Century Gothic" w:hAnsi="Century Gothic"/>
          <w:b/>
          <w:sz w:val="24"/>
          <w:szCs w:val="20"/>
        </w:rPr>
        <w:tab/>
      </w:r>
    </w:p>
    <w:p w:rsidR="00462016" w:rsidRPr="004E5644" w:rsidRDefault="00462016" w:rsidP="006A5E65">
      <w:pPr>
        <w:jc w:val="both"/>
        <w:rPr>
          <w:rFonts w:ascii="Century Gothic" w:hAnsi="Century Gothic"/>
          <w:sz w:val="24"/>
          <w:szCs w:val="20"/>
        </w:rPr>
      </w:pPr>
      <w:r w:rsidRPr="004E5644">
        <w:rPr>
          <w:rFonts w:ascii="Century Gothic" w:hAnsi="Century Gothic"/>
          <w:sz w:val="24"/>
          <w:szCs w:val="20"/>
        </w:rPr>
        <w:t>Blue Ocean IMC</w:t>
      </w:r>
      <w:r w:rsidR="00EE10A5" w:rsidRPr="004E5644">
        <w:rPr>
          <w:rFonts w:ascii="Century Gothic" w:hAnsi="Century Gothic"/>
          <w:sz w:val="24"/>
          <w:szCs w:val="20"/>
        </w:rPr>
        <w:tab/>
      </w:r>
      <w:r w:rsidR="00EE10A5" w:rsidRPr="004E5644">
        <w:rPr>
          <w:rFonts w:ascii="Century Gothic" w:hAnsi="Century Gothic"/>
          <w:sz w:val="24"/>
          <w:szCs w:val="20"/>
        </w:rPr>
        <w:tab/>
      </w:r>
      <w:r w:rsidR="00EE10A5" w:rsidRPr="004E5644">
        <w:rPr>
          <w:rFonts w:ascii="Century Gothic" w:hAnsi="Century Gothic"/>
          <w:sz w:val="24"/>
          <w:szCs w:val="20"/>
        </w:rPr>
        <w:tab/>
      </w:r>
      <w:r w:rsidR="00EE10A5" w:rsidRPr="004E5644">
        <w:rPr>
          <w:rFonts w:ascii="Century Gothic" w:hAnsi="Century Gothic"/>
          <w:sz w:val="24"/>
          <w:szCs w:val="20"/>
        </w:rPr>
        <w:tab/>
      </w:r>
      <w:r w:rsidR="00EE10A5" w:rsidRPr="004E5644">
        <w:rPr>
          <w:rFonts w:ascii="Century Gothic" w:hAnsi="Century Gothic"/>
          <w:sz w:val="24"/>
          <w:szCs w:val="20"/>
        </w:rPr>
        <w:tab/>
      </w:r>
      <w:r w:rsidR="00EE10A5" w:rsidRPr="004E5644">
        <w:rPr>
          <w:rFonts w:ascii="Century Gothic" w:hAnsi="Century Gothic"/>
          <w:sz w:val="24"/>
          <w:szCs w:val="20"/>
        </w:rPr>
        <w:tab/>
        <w:t>Omaxe Ltd.</w:t>
      </w:r>
    </w:p>
    <w:p w:rsidR="00462016" w:rsidRPr="004E5644" w:rsidRDefault="00462016" w:rsidP="006A5E65">
      <w:pPr>
        <w:jc w:val="both"/>
        <w:rPr>
          <w:rFonts w:ascii="Century Gothic" w:hAnsi="Century Gothic"/>
          <w:sz w:val="24"/>
          <w:szCs w:val="20"/>
        </w:rPr>
      </w:pPr>
      <w:proofErr w:type="spellStart"/>
      <w:r w:rsidRPr="004E5644">
        <w:rPr>
          <w:rFonts w:ascii="Century Gothic" w:hAnsi="Century Gothic"/>
          <w:sz w:val="24"/>
          <w:szCs w:val="20"/>
        </w:rPr>
        <w:t>Sangeetha</w:t>
      </w:r>
      <w:proofErr w:type="spellEnd"/>
      <w:r w:rsidRPr="004E5644">
        <w:rPr>
          <w:rFonts w:ascii="Century Gothic" w:hAnsi="Century Gothic"/>
          <w:sz w:val="24"/>
          <w:szCs w:val="20"/>
        </w:rPr>
        <w:t xml:space="preserve"> </w:t>
      </w:r>
      <w:proofErr w:type="spellStart"/>
      <w:r w:rsidRPr="004E5644">
        <w:rPr>
          <w:rFonts w:ascii="Century Gothic" w:hAnsi="Century Gothic"/>
          <w:sz w:val="24"/>
          <w:szCs w:val="20"/>
        </w:rPr>
        <w:t>Jeevan</w:t>
      </w:r>
      <w:proofErr w:type="spellEnd"/>
      <w:r w:rsidR="004E5644">
        <w:rPr>
          <w:rFonts w:ascii="Century Gothic" w:hAnsi="Century Gothic"/>
          <w:sz w:val="24"/>
          <w:szCs w:val="20"/>
        </w:rPr>
        <w:tab/>
      </w:r>
      <w:r w:rsidR="004E5644">
        <w:rPr>
          <w:rFonts w:ascii="Century Gothic" w:hAnsi="Century Gothic"/>
          <w:sz w:val="24"/>
          <w:szCs w:val="20"/>
        </w:rPr>
        <w:tab/>
      </w:r>
      <w:r w:rsidR="004E5644">
        <w:rPr>
          <w:rFonts w:ascii="Century Gothic" w:hAnsi="Century Gothic"/>
          <w:sz w:val="24"/>
          <w:szCs w:val="20"/>
        </w:rPr>
        <w:tab/>
      </w:r>
      <w:r w:rsidR="004E5644">
        <w:rPr>
          <w:rFonts w:ascii="Century Gothic" w:hAnsi="Century Gothic"/>
          <w:sz w:val="24"/>
          <w:szCs w:val="20"/>
        </w:rPr>
        <w:tab/>
      </w:r>
      <w:r w:rsidR="004E5644">
        <w:rPr>
          <w:rFonts w:ascii="Century Gothic" w:hAnsi="Century Gothic"/>
          <w:sz w:val="24"/>
          <w:szCs w:val="20"/>
        </w:rPr>
        <w:tab/>
      </w:r>
      <w:r w:rsidR="00EE10A5" w:rsidRPr="004E5644">
        <w:rPr>
          <w:rFonts w:ascii="Century Gothic" w:hAnsi="Century Gothic"/>
          <w:sz w:val="24"/>
          <w:szCs w:val="20"/>
        </w:rPr>
        <w:t xml:space="preserve">Samar </w:t>
      </w:r>
      <w:proofErr w:type="spellStart"/>
      <w:r w:rsidR="00EE10A5" w:rsidRPr="004E5644">
        <w:rPr>
          <w:rFonts w:ascii="Century Gothic" w:hAnsi="Century Gothic"/>
          <w:sz w:val="24"/>
          <w:szCs w:val="20"/>
        </w:rPr>
        <w:t>Jeet</w:t>
      </w:r>
      <w:proofErr w:type="spellEnd"/>
    </w:p>
    <w:p w:rsidR="00462016" w:rsidRPr="004E5644" w:rsidRDefault="00462016" w:rsidP="006A5E65">
      <w:pPr>
        <w:jc w:val="both"/>
        <w:rPr>
          <w:rFonts w:ascii="Century Gothic" w:hAnsi="Century Gothic"/>
          <w:sz w:val="24"/>
          <w:szCs w:val="20"/>
        </w:rPr>
      </w:pPr>
      <w:r w:rsidRPr="004E5644">
        <w:rPr>
          <w:rFonts w:ascii="Century Gothic" w:hAnsi="Century Gothic"/>
          <w:sz w:val="24"/>
          <w:szCs w:val="20"/>
        </w:rPr>
        <w:t>9930397770</w:t>
      </w:r>
      <w:r w:rsidR="00EE10A5" w:rsidRPr="004E5644">
        <w:rPr>
          <w:rFonts w:ascii="Century Gothic" w:hAnsi="Century Gothic"/>
          <w:sz w:val="24"/>
          <w:szCs w:val="20"/>
        </w:rPr>
        <w:tab/>
      </w:r>
      <w:r w:rsidR="00EE10A5" w:rsidRPr="004E5644">
        <w:rPr>
          <w:rFonts w:ascii="Century Gothic" w:hAnsi="Century Gothic"/>
          <w:sz w:val="24"/>
          <w:szCs w:val="20"/>
        </w:rPr>
        <w:tab/>
      </w:r>
      <w:r w:rsidR="00EE10A5" w:rsidRPr="004E5644">
        <w:rPr>
          <w:rFonts w:ascii="Century Gothic" w:hAnsi="Century Gothic"/>
          <w:sz w:val="24"/>
          <w:szCs w:val="20"/>
        </w:rPr>
        <w:tab/>
      </w:r>
      <w:r w:rsidR="00EE10A5" w:rsidRPr="004E5644">
        <w:rPr>
          <w:rFonts w:ascii="Century Gothic" w:hAnsi="Century Gothic"/>
          <w:sz w:val="24"/>
          <w:szCs w:val="20"/>
        </w:rPr>
        <w:tab/>
      </w:r>
      <w:r w:rsidR="00EE10A5" w:rsidRPr="004E5644">
        <w:rPr>
          <w:rFonts w:ascii="Century Gothic" w:hAnsi="Century Gothic"/>
          <w:sz w:val="24"/>
          <w:szCs w:val="20"/>
        </w:rPr>
        <w:tab/>
      </w:r>
      <w:r w:rsidR="00EE10A5" w:rsidRPr="004E5644">
        <w:rPr>
          <w:rFonts w:ascii="Century Gothic" w:hAnsi="Century Gothic"/>
          <w:sz w:val="24"/>
          <w:szCs w:val="20"/>
        </w:rPr>
        <w:tab/>
      </w:r>
      <w:r w:rsidR="00EE10A5" w:rsidRPr="004E5644">
        <w:rPr>
          <w:rFonts w:ascii="Century Gothic" w:hAnsi="Century Gothic"/>
          <w:sz w:val="24"/>
          <w:szCs w:val="20"/>
        </w:rPr>
        <w:tab/>
        <w:t>9711800034</w:t>
      </w:r>
    </w:p>
    <w:p w:rsidR="00EE10A5" w:rsidRPr="004E5644" w:rsidRDefault="00EE10A5" w:rsidP="006A5E65">
      <w:pPr>
        <w:jc w:val="both"/>
        <w:rPr>
          <w:rFonts w:ascii="Century Gothic" w:hAnsi="Century Gothic"/>
          <w:sz w:val="24"/>
          <w:szCs w:val="20"/>
        </w:rPr>
      </w:pPr>
    </w:p>
    <w:p w:rsidR="00EE10A5" w:rsidRPr="004E5644" w:rsidRDefault="00EE10A5" w:rsidP="006A5E65">
      <w:pPr>
        <w:jc w:val="both"/>
        <w:rPr>
          <w:rFonts w:ascii="Century Gothic" w:hAnsi="Century Gothic" w:cs="Arial"/>
          <w:bCs/>
          <w:sz w:val="28"/>
        </w:rPr>
      </w:pPr>
    </w:p>
    <w:sectPr w:rsidR="00EE10A5" w:rsidRPr="004E5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harlotte Sans Book">
    <w:altName w:val="Arial Narrow"/>
    <w:charset w:val="00"/>
    <w:family w:val="auto"/>
    <w:pitch w:val="variable"/>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upee Foradian">
    <w:altName w:val="Malgun Gothic"/>
    <w:charset w:val="00"/>
    <w:family w:val="swiss"/>
    <w:pitch w:val="variable"/>
    <w:sig w:usb0="800000AF" w:usb1="1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54942"/>
    <w:multiLevelType w:val="hybridMultilevel"/>
    <w:tmpl w:val="91C4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0B"/>
    <w:rsid w:val="000373A8"/>
    <w:rsid w:val="00053E0C"/>
    <w:rsid w:val="00094FF5"/>
    <w:rsid w:val="000B2594"/>
    <w:rsid w:val="000C6A0D"/>
    <w:rsid w:val="001079FF"/>
    <w:rsid w:val="00111BBD"/>
    <w:rsid w:val="0011280B"/>
    <w:rsid w:val="00134E2B"/>
    <w:rsid w:val="00156A6D"/>
    <w:rsid w:val="0016058D"/>
    <w:rsid w:val="002110E0"/>
    <w:rsid w:val="0021295C"/>
    <w:rsid w:val="00215A35"/>
    <w:rsid w:val="00223535"/>
    <w:rsid w:val="002A0447"/>
    <w:rsid w:val="002A1A4B"/>
    <w:rsid w:val="002C037F"/>
    <w:rsid w:val="002C04C9"/>
    <w:rsid w:val="002D6014"/>
    <w:rsid w:val="00314D6F"/>
    <w:rsid w:val="00322C91"/>
    <w:rsid w:val="00323DC7"/>
    <w:rsid w:val="003446B6"/>
    <w:rsid w:val="00372464"/>
    <w:rsid w:val="003F7AA7"/>
    <w:rsid w:val="004059ED"/>
    <w:rsid w:val="00462016"/>
    <w:rsid w:val="004E26B2"/>
    <w:rsid w:val="004E5644"/>
    <w:rsid w:val="00511DCB"/>
    <w:rsid w:val="0051711A"/>
    <w:rsid w:val="005250EB"/>
    <w:rsid w:val="00526F56"/>
    <w:rsid w:val="005859C9"/>
    <w:rsid w:val="005B6D1A"/>
    <w:rsid w:val="005D2907"/>
    <w:rsid w:val="006023B5"/>
    <w:rsid w:val="00622B4F"/>
    <w:rsid w:val="00662560"/>
    <w:rsid w:val="0068725B"/>
    <w:rsid w:val="006A4E94"/>
    <w:rsid w:val="006A5E65"/>
    <w:rsid w:val="006C18DC"/>
    <w:rsid w:val="006D433B"/>
    <w:rsid w:val="006D5565"/>
    <w:rsid w:val="007222AE"/>
    <w:rsid w:val="00736BF5"/>
    <w:rsid w:val="007372F9"/>
    <w:rsid w:val="0078509E"/>
    <w:rsid w:val="007A311B"/>
    <w:rsid w:val="007C5151"/>
    <w:rsid w:val="007D10F4"/>
    <w:rsid w:val="007D3424"/>
    <w:rsid w:val="007E02BB"/>
    <w:rsid w:val="007F52C3"/>
    <w:rsid w:val="0084467E"/>
    <w:rsid w:val="008550E1"/>
    <w:rsid w:val="00855837"/>
    <w:rsid w:val="00871943"/>
    <w:rsid w:val="008C20F2"/>
    <w:rsid w:val="008D2FF8"/>
    <w:rsid w:val="008D624E"/>
    <w:rsid w:val="008F1292"/>
    <w:rsid w:val="008F5354"/>
    <w:rsid w:val="00916419"/>
    <w:rsid w:val="00922349"/>
    <w:rsid w:val="00923722"/>
    <w:rsid w:val="00930AD2"/>
    <w:rsid w:val="009328E8"/>
    <w:rsid w:val="00946187"/>
    <w:rsid w:val="009A7266"/>
    <w:rsid w:val="009C3E58"/>
    <w:rsid w:val="009E0CA2"/>
    <w:rsid w:val="00A066B2"/>
    <w:rsid w:val="00A16212"/>
    <w:rsid w:val="00A536BC"/>
    <w:rsid w:val="00A856B9"/>
    <w:rsid w:val="00AA3559"/>
    <w:rsid w:val="00AB094B"/>
    <w:rsid w:val="00AB15D2"/>
    <w:rsid w:val="00AC136B"/>
    <w:rsid w:val="00AE5FB9"/>
    <w:rsid w:val="00B3394C"/>
    <w:rsid w:val="00BE00F3"/>
    <w:rsid w:val="00BE5D56"/>
    <w:rsid w:val="00C1282E"/>
    <w:rsid w:val="00C337FB"/>
    <w:rsid w:val="00C3420B"/>
    <w:rsid w:val="00C4291F"/>
    <w:rsid w:val="00C771E2"/>
    <w:rsid w:val="00C97C6B"/>
    <w:rsid w:val="00CC5D47"/>
    <w:rsid w:val="00CF001E"/>
    <w:rsid w:val="00D04C6F"/>
    <w:rsid w:val="00D141E5"/>
    <w:rsid w:val="00D306DB"/>
    <w:rsid w:val="00D351AA"/>
    <w:rsid w:val="00D43534"/>
    <w:rsid w:val="00D7100B"/>
    <w:rsid w:val="00E14F90"/>
    <w:rsid w:val="00E30A09"/>
    <w:rsid w:val="00E3108C"/>
    <w:rsid w:val="00E718A4"/>
    <w:rsid w:val="00E94CF1"/>
    <w:rsid w:val="00EA4061"/>
    <w:rsid w:val="00EC5522"/>
    <w:rsid w:val="00EC75F2"/>
    <w:rsid w:val="00EE10A5"/>
    <w:rsid w:val="00F02962"/>
    <w:rsid w:val="00F45A86"/>
    <w:rsid w:val="00F46669"/>
    <w:rsid w:val="00F52C89"/>
    <w:rsid w:val="00FD0EDB"/>
    <w:rsid w:val="00FF0E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07DB9-4F65-456D-9CC5-8B7CC2CD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80B"/>
    <w:pPr>
      <w:suppressAutoHyphens/>
      <w:spacing w:after="0" w:line="240" w:lineRule="auto"/>
    </w:pPr>
    <w:rPr>
      <w:rFonts w:ascii="Charlotte Sans Book" w:eastAsia="Batang" w:hAnsi="Charlotte Sans Book"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EC5522"/>
    <w:pPr>
      <w:suppressAutoHyphens w:val="0"/>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EC5522"/>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EC5522"/>
    <w:pPr>
      <w:ind w:left="720"/>
    </w:pPr>
  </w:style>
  <w:style w:type="paragraph" w:styleId="BalloonText">
    <w:name w:val="Balloon Text"/>
    <w:basedOn w:val="Normal"/>
    <w:link w:val="BalloonTextChar"/>
    <w:uiPriority w:val="99"/>
    <w:semiHidden/>
    <w:unhideWhenUsed/>
    <w:rsid w:val="008D624E"/>
    <w:rPr>
      <w:rFonts w:ascii="Tahoma" w:hAnsi="Tahoma" w:cs="Tahoma"/>
      <w:sz w:val="16"/>
      <w:szCs w:val="16"/>
    </w:rPr>
  </w:style>
  <w:style w:type="character" w:customStyle="1" w:styleId="BalloonTextChar">
    <w:name w:val="Balloon Text Char"/>
    <w:basedOn w:val="DefaultParagraphFont"/>
    <w:link w:val="BalloonText"/>
    <w:uiPriority w:val="99"/>
    <w:semiHidden/>
    <w:rsid w:val="008D624E"/>
    <w:rPr>
      <w:rFonts w:ascii="Tahoma" w:eastAsia="Batang"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323898311">
      <w:bodyDiv w:val="1"/>
      <w:marLeft w:val="0"/>
      <w:marRight w:val="0"/>
      <w:marTop w:val="0"/>
      <w:marBottom w:val="0"/>
      <w:divBdr>
        <w:top w:val="none" w:sz="0" w:space="0" w:color="auto"/>
        <w:left w:val="none" w:sz="0" w:space="0" w:color="auto"/>
        <w:bottom w:val="none" w:sz="0" w:space="0" w:color="auto"/>
        <w:right w:val="none" w:sz="0" w:space="0" w:color="auto"/>
      </w:divBdr>
    </w:div>
    <w:div w:id="936795197">
      <w:bodyDiv w:val="1"/>
      <w:marLeft w:val="0"/>
      <w:marRight w:val="0"/>
      <w:marTop w:val="0"/>
      <w:marBottom w:val="0"/>
      <w:divBdr>
        <w:top w:val="none" w:sz="0" w:space="0" w:color="auto"/>
        <w:left w:val="none" w:sz="0" w:space="0" w:color="auto"/>
        <w:bottom w:val="none" w:sz="0" w:space="0" w:color="auto"/>
        <w:right w:val="none" w:sz="0" w:space="0" w:color="auto"/>
      </w:divBdr>
    </w:div>
    <w:div w:id="1693218932">
      <w:bodyDiv w:val="1"/>
      <w:marLeft w:val="0"/>
      <w:marRight w:val="0"/>
      <w:marTop w:val="0"/>
      <w:marBottom w:val="0"/>
      <w:divBdr>
        <w:top w:val="none" w:sz="0" w:space="0" w:color="auto"/>
        <w:left w:val="none" w:sz="0" w:space="0" w:color="auto"/>
        <w:bottom w:val="none" w:sz="0" w:space="0" w:color="auto"/>
        <w:right w:val="none" w:sz="0" w:space="0" w:color="auto"/>
      </w:divBdr>
    </w:div>
    <w:div w:id="1899591298">
      <w:bodyDiv w:val="1"/>
      <w:marLeft w:val="0"/>
      <w:marRight w:val="0"/>
      <w:marTop w:val="0"/>
      <w:marBottom w:val="0"/>
      <w:divBdr>
        <w:top w:val="none" w:sz="0" w:space="0" w:color="auto"/>
        <w:left w:val="none" w:sz="0" w:space="0" w:color="auto"/>
        <w:bottom w:val="none" w:sz="0" w:space="0" w:color="auto"/>
        <w:right w:val="none" w:sz="0" w:space="0" w:color="auto"/>
      </w:divBdr>
    </w:div>
    <w:div w:id="20985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1766</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Anand - Corporate Communication</dc:creator>
  <cp:lastModifiedBy>Samarjeet - Corporate Communication</cp:lastModifiedBy>
  <cp:revision>76</cp:revision>
  <cp:lastPrinted>2021-08-13T10:58:00Z</cp:lastPrinted>
  <dcterms:created xsi:type="dcterms:W3CDTF">2019-02-12T09:30:00Z</dcterms:created>
  <dcterms:modified xsi:type="dcterms:W3CDTF">2021-08-13T11:55:00Z</dcterms:modified>
</cp:coreProperties>
</file>